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工作時間表常見用語：中印尼對照</w:t>
        <w:br/>
        <w:t>Chinese–Indonesian Glossary for Work Schedules</w:t>
      </w:r>
    </w:p>
    <w:p>
      <w:pPr>
        <w:jc w:val="center"/>
      </w:pPr>
      <w:r>
        <w:t>Maidinhk 專家提供｜印傭姐姐適用，建議配合雙語時間表使用。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中文 Chinese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印尼文 Bahasa Indonesia</w:t>
            </w:r>
          </w:p>
        </w:tc>
      </w:tr>
      <w:tr>
        <w:tc>
          <w:tcPr>
            <w:tcW w:type="dxa" w:w="4320"/>
          </w:tcPr>
          <w:p>
            <w:r>
              <w:t>打掃／清潔</w:t>
            </w:r>
          </w:p>
        </w:tc>
        <w:tc>
          <w:tcPr>
            <w:tcW w:type="dxa" w:w="4320"/>
          </w:tcPr>
          <w:p>
            <w:r>
              <w:t>Membersihkan</w:t>
            </w:r>
          </w:p>
        </w:tc>
      </w:tr>
      <w:tr>
        <w:tc>
          <w:tcPr>
            <w:tcW w:type="dxa" w:w="4320"/>
          </w:tcPr>
          <w:p>
            <w:r>
              <w:t>拖地</w:t>
            </w:r>
          </w:p>
        </w:tc>
        <w:tc>
          <w:tcPr>
            <w:tcW w:type="dxa" w:w="4320"/>
          </w:tcPr>
          <w:p>
            <w:r>
              <w:t>Mengepel</w:t>
            </w:r>
          </w:p>
        </w:tc>
      </w:tr>
      <w:tr>
        <w:tc>
          <w:tcPr>
            <w:tcW w:type="dxa" w:w="4320"/>
          </w:tcPr>
          <w:p>
            <w:r>
              <w:t>洗衫</w:t>
            </w:r>
          </w:p>
        </w:tc>
        <w:tc>
          <w:tcPr>
            <w:tcW w:type="dxa" w:w="4320"/>
          </w:tcPr>
          <w:p>
            <w:r>
              <w:t>Mencuci pakaian</w:t>
            </w:r>
          </w:p>
        </w:tc>
      </w:tr>
      <w:tr>
        <w:tc>
          <w:tcPr>
            <w:tcW w:type="dxa" w:w="4320"/>
          </w:tcPr>
          <w:p>
            <w:r>
              <w:t>晾衫</w:t>
            </w:r>
          </w:p>
        </w:tc>
        <w:tc>
          <w:tcPr>
            <w:tcW w:type="dxa" w:w="4320"/>
          </w:tcPr>
          <w:p>
            <w:r>
              <w:t>Menjemur pakaian</w:t>
            </w:r>
          </w:p>
        </w:tc>
      </w:tr>
      <w:tr>
        <w:tc>
          <w:tcPr>
            <w:tcW w:type="dxa" w:w="4320"/>
          </w:tcPr>
          <w:p>
            <w:r>
              <w:t>洗碗</w:t>
            </w:r>
          </w:p>
        </w:tc>
        <w:tc>
          <w:tcPr>
            <w:tcW w:type="dxa" w:w="4320"/>
          </w:tcPr>
          <w:p>
            <w:r>
              <w:t>Mencuci piring</w:t>
            </w:r>
          </w:p>
        </w:tc>
      </w:tr>
      <w:tr>
        <w:tc>
          <w:tcPr>
            <w:tcW w:type="dxa" w:w="4320"/>
          </w:tcPr>
          <w:p>
            <w:r>
              <w:t>抹窗</w:t>
            </w:r>
          </w:p>
        </w:tc>
        <w:tc>
          <w:tcPr>
            <w:tcW w:type="dxa" w:w="4320"/>
          </w:tcPr>
          <w:p>
            <w:r>
              <w:t>Membersihkan jendela</w:t>
            </w:r>
          </w:p>
        </w:tc>
      </w:tr>
      <w:tr>
        <w:tc>
          <w:tcPr>
            <w:tcW w:type="dxa" w:w="4320"/>
          </w:tcPr>
          <w:p>
            <w:r>
              <w:t>買餸</w:t>
            </w:r>
          </w:p>
        </w:tc>
        <w:tc>
          <w:tcPr>
            <w:tcW w:type="dxa" w:w="4320"/>
          </w:tcPr>
          <w:p>
            <w:r>
              <w:t>Belanja ke pasar</w:t>
            </w:r>
          </w:p>
        </w:tc>
      </w:tr>
      <w:tr>
        <w:tc>
          <w:tcPr>
            <w:tcW w:type="dxa" w:w="4320"/>
          </w:tcPr>
          <w:p>
            <w:r>
              <w:t>煮飯</w:t>
            </w:r>
          </w:p>
        </w:tc>
        <w:tc>
          <w:tcPr>
            <w:tcW w:type="dxa" w:w="4320"/>
          </w:tcPr>
          <w:p>
            <w:r>
              <w:t>Memasak</w:t>
            </w:r>
          </w:p>
        </w:tc>
      </w:tr>
      <w:tr>
        <w:tc>
          <w:tcPr>
            <w:tcW w:type="dxa" w:w="4320"/>
          </w:tcPr>
          <w:p>
            <w:r>
              <w:t>照顧長者</w:t>
            </w:r>
          </w:p>
        </w:tc>
        <w:tc>
          <w:tcPr>
            <w:tcW w:type="dxa" w:w="4320"/>
          </w:tcPr>
          <w:p>
            <w:r>
              <w:t>Merawat lansia</w:t>
            </w:r>
          </w:p>
        </w:tc>
      </w:tr>
      <w:tr>
        <w:tc>
          <w:tcPr>
            <w:tcW w:type="dxa" w:w="4320"/>
          </w:tcPr>
          <w:p>
            <w:r>
              <w:t>接小朋友</w:t>
            </w:r>
          </w:p>
        </w:tc>
        <w:tc>
          <w:tcPr>
            <w:tcW w:type="dxa" w:w="4320"/>
          </w:tcPr>
          <w:p>
            <w:r>
              <w:t>Menjemput anak</w:t>
            </w:r>
          </w:p>
        </w:tc>
      </w:tr>
      <w:tr>
        <w:tc>
          <w:tcPr>
            <w:tcW w:type="dxa" w:w="4320"/>
          </w:tcPr>
          <w:p>
            <w:r>
              <w:t>餵藥</w:t>
            </w:r>
          </w:p>
        </w:tc>
        <w:tc>
          <w:tcPr>
            <w:tcW w:type="dxa" w:w="4320"/>
          </w:tcPr>
          <w:p>
            <w:r>
              <w:t>Memberi obat</w:t>
            </w:r>
          </w:p>
        </w:tc>
      </w:tr>
      <w:tr>
        <w:tc>
          <w:tcPr>
            <w:tcW w:type="dxa" w:w="4320"/>
          </w:tcPr>
          <w:p>
            <w:r>
              <w:t>祈禱時間</w:t>
            </w:r>
          </w:p>
        </w:tc>
        <w:tc>
          <w:tcPr>
            <w:tcW w:type="dxa" w:w="4320"/>
          </w:tcPr>
          <w:p>
            <w:r>
              <w:t>Waktu salat</w:t>
            </w:r>
          </w:p>
        </w:tc>
      </w:tr>
      <w:tr>
        <w:tc>
          <w:tcPr>
            <w:tcW w:type="dxa" w:w="4320"/>
          </w:tcPr>
          <w:p>
            <w:r>
              <w:t>休息</w:t>
            </w:r>
          </w:p>
        </w:tc>
        <w:tc>
          <w:tcPr>
            <w:tcW w:type="dxa" w:w="4320"/>
          </w:tcPr>
          <w:p>
            <w:r>
              <w:t>Istirahat</w:t>
            </w:r>
          </w:p>
        </w:tc>
      </w:tr>
      <w:tr>
        <w:tc>
          <w:tcPr>
            <w:tcW w:type="dxa" w:w="4320"/>
          </w:tcPr>
          <w:p>
            <w:r>
              <w:t>已完成</w:t>
            </w:r>
          </w:p>
        </w:tc>
        <w:tc>
          <w:tcPr>
            <w:tcW w:type="dxa" w:w="4320"/>
          </w:tcPr>
          <w:p>
            <w:r>
              <w:t>Sudah selesai</w:t>
            </w:r>
          </w:p>
        </w:tc>
      </w:tr>
    </w:tbl>
    <w:p/>
    <w:p>
      <w:r>
        <w:rPr>
          <w:color w:val="808080"/>
          <w:sz w:val="18"/>
        </w:rPr>
        <w:t>備註：本範本為通用框架，請按家庭實際情況修改。設計原則詳見 maidinhk.com/blog/work-schedule。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